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A7" w:rsidRPr="006F69A7" w:rsidRDefault="00CE19F8" w:rsidP="00CE19F8">
      <w:pPr>
        <w:shd w:val="clear" w:color="auto" w:fill="FFFFFF"/>
        <w:spacing w:after="276" w:line="551" w:lineRule="atLeas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                                  </w:t>
      </w:r>
      <w:r w:rsidR="006F69A7"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ПРИЛОЖЕНИЕ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jc w:val="righ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к приказу №  от 04.02.2016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г.</w:t>
      </w:r>
    </w:p>
    <w:p w:rsidR="006F69A7" w:rsidRPr="006F69A7" w:rsidRDefault="006F69A7" w:rsidP="00CE19F8">
      <w:pPr>
        <w:shd w:val="clear" w:color="auto" w:fill="FFFFFF"/>
        <w:spacing w:after="276" w:line="551" w:lineRule="atLeast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Кодекс этики и сл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ужебного поведения работников М</w:t>
      </w: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ДОУ 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Детский сад №11 д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.Н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овая Соболева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I. Общие положения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 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1.1. Кодекс этики и служебного поведения работников 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(далее - Кодекс) Муниципального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дошкольного образовате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льного учреждения Д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етского сада 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№11 д</w:t>
      </w:r>
      <w:proofErr w:type="gramStart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.Н</w:t>
      </w:r>
      <w:proofErr w:type="gramEnd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овая Соболева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разработан в соответствии с положениями</w:t>
      </w:r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hyperlink r:id="rId4" w:history="1">
        <w:r w:rsidRPr="006F69A7">
          <w:rPr>
            <w:rFonts w:ascii="Helvetica" w:eastAsia="Times New Roman" w:hAnsi="Helvetica" w:cs="Helvetica"/>
            <w:sz w:val="40"/>
            <w:lang w:eastAsia="ru-RU"/>
          </w:rPr>
          <w:t>Конституции</w:t>
        </w:r>
      </w:hyperlink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Российской Федерации, Федерального закона от 25 декабря 2008 г.</w:t>
      </w:r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hyperlink r:id="rId5" w:history="1">
        <w:r w:rsidRPr="006F69A7">
          <w:rPr>
            <w:rFonts w:ascii="Helvetica" w:eastAsia="Times New Roman" w:hAnsi="Helvetica" w:cs="Helvetica"/>
            <w:sz w:val="40"/>
            <w:lang w:eastAsia="ru-RU"/>
          </w:rPr>
          <w:t>N 273-ФЗ</w:t>
        </w:r>
      </w:hyperlink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"О противодействии коррупции".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1.2.  Кодекс представляет собой свод основных принципов профессиональной служебной этики и основных правил служебного поведения, которыми должны руководствоваться работники учреждения.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1.3.  Целью кодекса является установление этических норм и правил служебного поведения работников ДОУ для достойного выполнения ими своей профессиональной деятельности, а также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содействие укреплению авторитета работников ДОУ, доверия граждан к деятельности ДОУ и обеспечение единых норм поведения для работников ДОУ.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1.4. Кодекс призван повысить эффективность выполнения работниками ДОУ своих должностных обязанностей.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1.5.. Работник, поступающий на работу в ДОУ, обязан ознакомиться с положениями кодекса и соблюдать их в процессе своей служебной деятельности.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1.6.. Каждый работник обязан соблюдать в процессе профессиональной служебной деятельности положения Кодекса.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1.7. Знание и соблюдение работниками 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lastRenderedPageBreak/>
        <w:t>2. Основные принципы профессиональной служебной этики работников учреждения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2.1.Деятельность учреждения, а также его 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                             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работников основывается на следующих принципах профессиональной этики: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Законность;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Профессионализм;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Независимость;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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Добросовестность;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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Конфиденциальность;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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Справедливость;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1260" w:hanging="36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</w:t>
      </w:r>
      <w:r>
        <w:rPr>
          <w:rFonts w:ascii="Symbol" w:eastAsia="Times New Roman" w:hAnsi="Symbol" w:cs="Helvetica"/>
          <w:color w:val="333333"/>
          <w:sz w:val="40"/>
          <w:szCs w:val="40"/>
          <w:lang w:eastAsia="ru-RU"/>
        </w:rPr>
        <w:t></w:t>
      </w:r>
      <w:r w:rsidRPr="006F69A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6F69A7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Информационная открытость.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90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90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3.Основные правила служебного поведения работников учреждения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90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left="900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3.1. Работники ДОУ, сознавая ответственность перед государством, обществом и гражданами, призваны: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ДОУ, так и работников;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в) осуществлять свою деятельность в соответствии с Уставом учреждения;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г</w:t>
      </w:r>
      <w:proofErr w:type="gramStart"/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облюдать</w:t>
      </w:r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hyperlink r:id="rId6" w:history="1">
        <w:r w:rsidRPr="006F69A7">
          <w:rPr>
            <w:rFonts w:ascii="Helvetica" w:eastAsia="Times New Roman" w:hAnsi="Helvetica" w:cs="Helvetica"/>
            <w:sz w:val="40"/>
            <w:lang w:eastAsia="ru-RU"/>
          </w:rPr>
          <w:t>Конституцию</w:t>
        </w:r>
      </w:hyperlink>
      <w:r w:rsidRPr="006F69A7">
        <w:rPr>
          <w:rFonts w:ascii="Helvetica" w:eastAsia="Times New Roman" w:hAnsi="Helvetica" w:cs="Helvetica"/>
          <w:color w:val="333333"/>
          <w:sz w:val="40"/>
          <w:lang w:eastAsia="ru-RU"/>
        </w:rPr>
        <w:t> 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Российской Федерации, федеральные конституционные и федеральные законы, иные нормативные правовые акты Росс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ийской Федерации, Устав Челябинской области, законы Челябин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ской области, постановления 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 распоряжения Губернатора Челябин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ской области, постановления и 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распоряжения Правительства Челябин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ской области, иные нормативные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правовые акты исполнительных орга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нов государственной власти Челябин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ской области;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д</w:t>
      </w:r>
      <w:proofErr w:type="spell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 не допускать нарушений законов и иных нормативных правовых актов исходя из политической, экономической целесообразности либо по иным мотивам;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е</w:t>
      </w:r>
      <w:proofErr w:type="gram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)н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е оказывать предпочтение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ж</w:t>
      </w:r>
      <w:proofErr w:type="gram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)и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з</w:t>
      </w:r>
      <w:proofErr w:type="spell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работнику ДОУ, в целях склонения к совершению коррупционных правонарушений;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и)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к) соблюдать нормы служебной, профессиональной этики и правила делового поведения;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л</w:t>
      </w:r>
      <w:proofErr w:type="gram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)п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роявлять корректность и внимательность в обращении с гражданами и должностными лицами;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м) проявлять терпимость и уважение к обычаям и традициям народов России и других государств, учитывать культурные и иные особенности различных этн</w:t>
      </w: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ических, социальных групп и конц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ессий, способствовать межнациональному и межконфессиональному согласию;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н</w:t>
      </w:r>
      <w:proofErr w:type="spell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 в целом;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о)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п</w:t>
      </w:r>
      <w:proofErr w:type="spell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р</w:t>
      </w:r>
      <w:proofErr w:type="spell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) постоянно стремиться к обеспечению как можно более эффективного распоряжения ресурсами, находящимися в сфере ответственности работника учреждения.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с) обрабатывать и передавать служебную информацию при соблюдении положений Устава учреждения, правил и требований, действующих в учреждении;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т) принимать соответствующие меры по обеспечению безопасности и конфиденциальной информации, за несанкционированное разглашение которой он несет ответственность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ил</w:t>
      </w:r>
      <w:proofErr w:type="gram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и(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и) которая стала известна ему в связи с исполнением им должностных обязанностей.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3.2. Сотрудник организации не имеет права: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а) злоупотреблять должностными полномочиями, склонять кого-либо к правонарушениям, имеющим коррупционную направленность;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в) во время исполнения должностных обязанностей допускать личную заинтересованность;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г) использовать должностное положение вопреки законным интересам организации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 xml:space="preserve">3.3. Во время исполнения должностных обязанностей работник учреждения должен воздерживаться </w:t>
      </w:r>
      <w:proofErr w:type="gramStart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от</w:t>
      </w:r>
      <w:proofErr w:type="gramEnd"/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: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3.4.  Во время исполнения своих должностных обязанностей работник учреждения должен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</w:t>
      </w: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личную и  семейную тайну, защиту чести и достоинства своего доброго имени.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3.5.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3.6. Внешний вид работника учреждения при исполнении им должностных обязанностей должен способствовать уважительному отношению граждан к ДОУ,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4. Ответственность за нарушение 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 </w:t>
      </w: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положений 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                </w:t>
      </w:r>
      <w:r w:rsidRPr="006F69A7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Типового кодекса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 </w:t>
      </w:r>
    </w:p>
    <w:p w:rsidR="006F69A7" w:rsidRPr="006F69A7" w:rsidRDefault="006F69A7" w:rsidP="006F69A7">
      <w:pPr>
        <w:shd w:val="clear" w:color="auto" w:fill="FFFFFF"/>
        <w:spacing w:after="276" w:line="551" w:lineRule="atLeast"/>
        <w:ind w:firstLine="540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6F69A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4.1. Нарушение сотрудником организации положений Кодекса  влечет применение к сотруднику организации мер ответственности, предусмотренных действующим  законодательством.</w:t>
      </w:r>
    </w:p>
    <w:p w:rsidR="00011303" w:rsidRDefault="00011303"/>
    <w:sectPr w:rsidR="00011303" w:rsidSect="0001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/>
  <w:rsids>
    <w:rsidRoot w:val="006F69A7"/>
    <w:rsid w:val="00011303"/>
    <w:rsid w:val="006F69A7"/>
    <w:rsid w:val="00BA4537"/>
    <w:rsid w:val="00C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A7"/>
  </w:style>
  <w:style w:type="character" w:styleId="a4">
    <w:name w:val="Hyperlink"/>
    <w:basedOn w:val="a0"/>
    <w:uiPriority w:val="99"/>
    <w:semiHidden/>
    <w:unhideWhenUsed/>
    <w:rsid w:val="006F69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8D6E524464E5630C98A5AZFr0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4" Type="http://schemas.openxmlformats.org/officeDocument/2006/relationships/hyperlink" Target="consultantplus://offline/ref=A9F67CD56AB2EA91D7A38133AAF8EB3C78D6E524464E5630C98A5AZF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cp:lastPrinted>2016-08-11T07:04:00Z</cp:lastPrinted>
  <dcterms:created xsi:type="dcterms:W3CDTF">2016-08-11T06:52:00Z</dcterms:created>
  <dcterms:modified xsi:type="dcterms:W3CDTF">2016-08-11T08:26:00Z</dcterms:modified>
</cp:coreProperties>
</file>